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-54968</wp:posOffset>
                </wp:positionH>
                <wp:positionV relativeFrom="paragraph">
                  <wp:posOffset>-124147</wp:posOffset>
                </wp:positionV>
                <wp:extent cx="3426594" cy="567890"/>
                <wp:wrapNone/>
                <wp:docPr id="8510323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-54968</wp:posOffset>
                </wp:positionH>
                <wp:positionV relativeFrom="paragraph">
                  <wp:posOffset>-124147</wp:posOffset>
                </wp:positionV>
                <wp:extent cx="3426594" cy="567890"/>
                <wp:effectExtent b="0" l="0" r="0" t="0"/>
                <wp:wrapNone/>
                <wp:docPr id="85103231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September 4th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Narketta Sparkman-Key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000000"/>
                    <w:sz w:val="21"/>
                    <w:szCs w:val="21"/>
                    <w:shd w:fill="e8eaed" w:val="clear"/>
                    <w:rtl w:val="0"/>
                  </w:rPr>
                  <w:t xml:space="preserve">-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000000"/>
                    <w:sz w:val="21"/>
                    <w:szCs w:val="21"/>
                    <w:shd w:fill="e8eaed" w:val="clear"/>
                    <w:rtl w:val="0"/>
                  </w:rPr>
                  <w:t xml:space="preserve">-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000000"/>
                    <w:sz w:val="21"/>
                    <w:szCs w:val="21"/>
                    <w:shd w:fill="e8eaed" w:val="clear"/>
                    <w:rtl w:val="0"/>
                  </w:rPr>
                  <w:t xml:space="preserve">-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Gregor Thuswaldner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Sacha Kopp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August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 and seconded. All in favor. Vote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S. Yatin</w:t>
      </w:r>
    </w:p>
    <w:p w:rsidR="00000000" w:rsidDel="00000000" w:rsidP="00000000" w:rsidRDefault="00000000" w:rsidRPr="00000000" w14:paraId="00000036">
      <w:pPr>
        <w:ind w:left="720" w:firstLine="720"/>
        <w:rPr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July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 and seconded. All in favor. Vote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AAUA Conference Sponsorship - </w:t>
      </w:r>
      <w:r w:rsidDel="00000000" w:rsidR="00000000" w:rsidRPr="00000000">
        <w:rPr>
          <w:sz w:val="22"/>
          <w:szCs w:val="22"/>
          <w:rtl w:val="0"/>
        </w:rPr>
        <w:t xml:space="preserve">Board prefers Tuesday sponsorship 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Networking event proposed schedule - 10/14 from 3:30-5:30pm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spacing w:after="0" w:before="0" w:line="276" w:lineRule="auto"/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3:30-3:45pm - Check in / grab a refreshment</w:t>
      </w:r>
    </w:p>
    <w:p w:rsidR="00000000" w:rsidDel="00000000" w:rsidP="00000000" w:rsidRDefault="00000000" w:rsidRPr="00000000" w14:paraId="0000003D">
      <w:pPr>
        <w:numPr>
          <w:ilvl w:val="4"/>
          <w:numId w:val="1"/>
        </w:numPr>
        <w:spacing w:after="0" w:before="0" w:line="276" w:lineRule="auto"/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3:45pm-4pm </w:t>
      </w:r>
    </w:p>
    <w:p w:rsidR="00000000" w:rsidDel="00000000" w:rsidP="00000000" w:rsidRDefault="00000000" w:rsidRPr="00000000" w14:paraId="0000003E">
      <w:pPr>
        <w:numPr>
          <w:ilvl w:val="5"/>
          <w:numId w:val="1"/>
        </w:numPr>
        <w:spacing w:after="0" w:before="0" w:line="276" w:lineRule="auto"/>
        <w:ind w:left="43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President's Welcome</w:t>
      </w:r>
    </w:p>
    <w:p w:rsidR="00000000" w:rsidDel="00000000" w:rsidP="00000000" w:rsidRDefault="00000000" w:rsidRPr="00000000" w14:paraId="0000003F">
      <w:pPr>
        <w:numPr>
          <w:ilvl w:val="5"/>
          <w:numId w:val="1"/>
        </w:numPr>
        <w:spacing w:after="0" w:before="0" w:line="276" w:lineRule="auto"/>
        <w:ind w:left="43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ACAO benefits</w:t>
      </w:r>
    </w:p>
    <w:p w:rsidR="00000000" w:rsidDel="00000000" w:rsidP="00000000" w:rsidRDefault="00000000" w:rsidRPr="00000000" w14:paraId="00000040">
      <w:pPr>
        <w:numPr>
          <w:ilvl w:val="5"/>
          <w:numId w:val="1"/>
        </w:numPr>
        <w:spacing w:after="0" w:before="0" w:line="276" w:lineRule="auto"/>
        <w:ind w:left="43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Provost handbook, blog, etc.</w:t>
      </w:r>
    </w:p>
    <w:p w:rsidR="00000000" w:rsidDel="00000000" w:rsidP="00000000" w:rsidRDefault="00000000" w:rsidRPr="00000000" w14:paraId="00000041">
      <w:pPr>
        <w:numPr>
          <w:ilvl w:val="4"/>
          <w:numId w:val="1"/>
        </w:numPr>
        <w:spacing w:after="0" w:before="0" w:line="276" w:lineRule="auto"/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4-4:30pm - Panel or facilitated discussion </w:t>
      </w:r>
    </w:p>
    <w:p w:rsidR="00000000" w:rsidDel="00000000" w:rsidP="00000000" w:rsidRDefault="00000000" w:rsidRPr="00000000" w14:paraId="00000042">
      <w:pPr>
        <w:numPr>
          <w:ilvl w:val="4"/>
          <w:numId w:val="1"/>
        </w:numPr>
        <w:spacing w:after="0" w:before="0" w:line="276" w:lineRule="auto"/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4:30-5pm - Breakout sessions with specific questions</w:t>
      </w:r>
    </w:p>
    <w:p w:rsidR="00000000" w:rsidDel="00000000" w:rsidP="00000000" w:rsidRDefault="00000000" w:rsidRPr="00000000" w14:paraId="00000043">
      <w:pPr>
        <w:numPr>
          <w:ilvl w:val="4"/>
          <w:numId w:val="1"/>
        </w:numPr>
        <w:spacing w:after="0" w:before="0" w:line="276" w:lineRule="auto"/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5-5:30pm - Networking / Continuation of breakouts 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Who plans to attend? Michael, Junius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renewals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Shareable BOD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Conference attendance - Click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2"/>
          <w:szCs w:val="22"/>
          <w:rtl w:val="0"/>
        </w:rPr>
        <w:t xml:space="preserve"> to enter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Other (examples: assistants, volunteers, staff)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Updates regarding Provost Handbook and ACAO Podcast - G. Thuswaldner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Committee Updates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will host 3 Town Halls and wants to move forward with coffee chats and creating a members-only LinkedIn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Rule="auto"/>
        <w:rPr>
          <w:b w:val="1"/>
          <w:sz w:val="22"/>
          <w:szCs w:val="22"/>
        </w:rPr>
      </w:pPr>
      <w:hyperlink r:id="rId13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  <w:sz w:val="22"/>
          <w:szCs w:val="22"/>
        </w:rPr>
      </w:pPr>
      <w:hyperlink r:id="rId14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5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5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5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5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5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5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5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5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5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5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5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5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6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6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62">
      <w:pPr>
        <w:spacing w:after="120" w:lineRule="auto"/>
        <w:rPr>
          <w:color w:val="000000"/>
          <w:sz w:val="20"/>
          <w:szCs w:val="20"/>
        </w:rPr>
      </w:pPr>
      <w:hyperlink r:id="rId15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6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6D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1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2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3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4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Narketta Sparkman-Key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D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W5JCjDDopO9WR7z3E7gsuwWasxXdft_h/edit?usp=sharing&amp;ouid=116874921390071707661&amp;rtpof=true&amp;sd=true" TargetMode="External"/><Relationship Id="rId10" Type="http://schemas.openxmlformats.org/officeDocument/2006/relationships/hyperlink" Target="https://docs.google.com/document/d/1Cw5EsY9U7HUhvziRh2-TAfnpBTCJVylE/edit?usp=sharing&amp;ouid=116874921390071707661&amp;rtpof=true&amp;sd=true" TargetMode="External"/><Relationship Id="rId13" Type="http://schemas.openxmlformats.org/officeDocument/2006/relationships/hyperlink" Target="https://drive.google.com/file/d/16bjB0iPb30qW2hCd2DbLdbucc8yMtWLr/view" TargetMode="External"/><Relationship Id="rId12" Type="http://schemas.openxmlformats.org/officeDocument/2006/relationships/hyperlink" Target="https://docs.google.com/spreadsheets/d/1omccNy1BBvi_GHEcY8a-4oo46NRouHienli4UM5GFPk/edit?usp=sharing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us02web.zoom.us/j/82529646331?pwd=YXFnWEwvOU5DQVAvWHY1aGMrYjcvUT09" TargetMode="External"/><Relationship Id="rId14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4EOyKI6mjCQiNoJr8C4x7xwWvg==">CgMxLjAaHwoBMBIaChgICVIUChJ0YWJsZS5oN2NyNzRsbTI3M3Y4AHIhMXJxdEtGeFVibGlkXzhLemxVdWdndHI1NlptcnVWTjYw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